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4265"/>
      </w:tblGrid>
      <w:tr>
        <w:trPr>
          <w:trHeight w:val="446" w:hRule="atLeast"/>
        </w:trPr>
        <w:tc>
          <w:tcPr>
            <w:tcW w:w="2235" w:type="dxa"/>
          </w:tcPr>
          <w:p>
            <w:pPr>
              <w:pStyle w:val="TableParagraph"/>
              <w:spacing w:line="412" w:lineRule="exact" w:before="14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fill="00856F" w:color="auto" w:val="clear"/>
              </w:rPr>
              <w:t> </w:t>
            </w:r>
            <w:r>
              <w:rPr>
                <w:b/>
                <w:color w:val="FFFFFF"/>
                <w:sz w:val="36"/>
                <w:shd w:fill="00856F" w:color="auto" w:val="clear"/>
              </w:rPr>
              <w:t>LEA </w:t>
            </w:r>
            <w:r>
              <w:rPr>
                <w:b/>
                <w:color w:val="FFFFFF"/>
                <w:spacing w:val="-8"/>
                <w:sz w:val="36"/>
                <w:shd w:fill="00856F" w:color="auto" w:val="clear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fill="00856F" w:color="auto" w:val="clear"/>
              </w:rPr>
              <w:t> </w:t>
            </w:r>
            <w:r>
              <w:rPr>
                <w:b/>
                <w:color w:val="FFFFFF"/>
                <w:sz w:val="36"/>
                <w:shd w:fill="00856F" w:color="auto" w:val="clear"/>
              </w:rPr>
              <w:t>2.2</w:t>
            </w:r>
            <w:r>
              <w:rPr>
                <w:b/>
                <w:color w:val="FFFFFF"/>
                <w:spacing w:val="4"/>
                <w:sz w:val="36"/>
                <w:shd w:fill="00856F" w:color="auto" w:val="clear"/>
              </w:rPr>
              <w:t> </w:t>
            </w:r>
          </w:p>
        </w:tc>
        <w:tc>
          <w:tcPr>
            <w:tcW w:w="4265" w:type="dxa"/>
          </w:tcPr>
          <w:p>
            <w:pPr>
              <w:pStyle w:val="TableParagraph"/>
              <w:spacing w:line="412" w:lineRule="exact" w:before="14"/>
              <w:ind w:left="115"/>
              <w:rPr>
                <w:b/>
                <w:sz w:val="36"/>
              </w:rPr>
            </w:pPr>
            <w:r>
              <w:rPr>
                <w:b/>
                <w:color w:val="00856F"/>
                <w:sz w:val="36"/>
              </w:rPr>
              <w:t>Setting strategy priorities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tbl>
      <w:tblPr>
        <w:tblW w:w="0" w:type="auto"/>
        <w:jc w:val="left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7190"/>
      </w:tblGrid>
      <w:tr>
        <w:trPr>
          <w:trHeight w:val="4115" w:hRule="atLeast"/>
        </w:trPr>
        <w:tc>
          <w:tcPr>
            <w:tcW w:w="2150" w:type="dxa"/>
            <w:shd w:val="clear" w:color="auto" w:fill="EBF3F1"/>
          </w:tcPr>
          <w:p>
            <w:pPr>
              <w:pStyle w:val="TableParagraph"/>
              <w:spacing w:before="71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Directions</w:t>
            </w:r>
          </w:p>
        </w:tc>
        <w:tc>
          <w:tcPr>
            <w:tcW w:w="7190" w:type="dxa"/>
          </w:tcPr>
          <w:p>
            <w:pPr>
              <w:pStyle w:val="TableParagraph"/>
              <w:spacing w:line="254" w:lineRule="auto" w:before="71"/>
              <w:ind w:left="80" w:right="81"/>
              <w:rPr>
                <w:sz w:val="22"/>
              </w:rPr>
            </w:pPr>
            <w:r>
              <w:rPr>
                <w:color w:val="231F20"/>
                <w:sz w:val="22"/>
              </w:rPr>
              <w:t>Using the data that you have collected and analyzed in Tool 7A, prioritize specific strategies you will fund and implement. Please note, these strategies should be designed for closing a performance gap or easing a challenge.</w:t>
            </w: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Please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consider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following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questions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before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completing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chart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below: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6" w:after="0"/>
              <w:ind w:left="300" w:right="0" w:hanging="22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What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challenge/performance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gap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most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painful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visible?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6" w:after="0"/>
              <w:ind w:left="300" w:right="0" w:hanging="22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What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alignment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between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challenge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vision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goals?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6" w:after="0"/>
              <w:ind w:left="300" w:right="0" w:hanging="22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What do you want to be different in 3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years?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6" w:after="0"/>
              <w:ind w:left="300" w:right="0" w:hanging="22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How will the strategies you select impact students?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Educators?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54" w:lineRule="auto" w:before="76" w:after="0"/>
              <w:ind w:left="300" w:right="347" w:hanging="22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addition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Title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IIA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funds,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what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other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resources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3"/>
                <w:sz w:val="22"/>
              </w:rPr>
              <w:t>have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available to address these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needs?</w:t>
            </w:r>
          </w:p>
          <w:p>
            <w:pPr>
              <w:pStyle w:val="TableParagraph"/>
              <w:spacing w:line="254" w:lineRule="auto" w:before="60"/>
              <w:ind w:left="100" w:right="285"/>
              <w:rPr>
                <w:sz w:val="22"/>
              </w:rPr>
            </w:pPr>
            <w:r>
              <w:rPr>
                <w:color w:val="231F20"/>
                <w:sz w:val="22"/>
              </w:rPr>
              <w:t>Complete the chart by inserting your key elements, components, or full sentences from the tool that you completed in LEA Tool 2.1. Fill out the re- mainder of the chart.</w:t>
            </w:r>
          </w:p>
        </w:tc>
      </w:tr>
      <w:tr>
        <w:trPr>
          <w:trHeight w:val="395" w:hRule="atLeast"/>
        </w:trPr>
        <w:tc>
          <w:tcPr>
            <w:tcW w:w="2150" w:type="dxa"/>
            <w:shd w:val="clear" w:color="auto" w:fill="EBF3F1"/>
          </w:tcPr>
          <w:p>
            <w:pPr>
              <w:pStyle w:val="TableParagraph"/>
              <w:spacing w:before="71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Materials required</w:t>
            </w:r>
          </w:p>
        </w:tc>
        <w:tc>
          <w:tcPr>
            <w:tcW w:w="7190" w:type="dxa"/>
          </w:tcPr>
          <w:p>
            <w:pPr>
              <w:pStyle w:val="TableParagraph"/>
              <w:spacing w:before="71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Outcomes of LEA Tool 2.1</w:t>
            </w:r>
          </w:p>
        </w:tc>
      </w:tr>
      <w:tr>
        <w:trPr>
          <w:trHeight w:val="395" w:hRule="atLeast"/>
        </w:trPr>
        <w:tc>
          <w:tcPr>
            <w:tcW w:w="2150" w:type="dxa"/>
            <w:shd w:val="clear" w:color="auto" w:fill="EBF3F1"/>
          </w:tcPr>
          <w:p>
            <w:pPr>
              <w:pStyle w:val="TableParagraph"/>
              <w:spacing w:before="71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Time</w:t>
            </w:r>
          </w:p>
        </w:tc>
        <w:tc>
          <w:tcPr>
            <w:tcW w:w="7190" w:type="dxa"/>
          </w:tcPr>
          <w:p>
            <w:pPr>
              <w:pStyle w:val="TableParagraph"/>
              <w:spacing w:before="71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90 minutes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684" w:footer="1530" w:top="1420" w:bottom="1720" w:left="1220" w:right="1340"/>
          <w:pgNumType w:start="1"/>
        </w:sectPr>
      </w:pPr>
    </w:p>
    <w:tbl>
      <w:tblPr>
        <w:tblW w:w="0" w:type="auto"/>
        <w:jc w:val="left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557"/>
        <w:gridCol w:w="1557"/>
        <w:gridCol w:w="1557"/>
        <w:gridCol w:w="1557"/>
        <w:gridCol w:w="1557"/>
      </w:tblGrid>
      <w:tr>
        <w:trPr>
          <w:trHeight w:val="1495" w:hRule="atLeast"/>
        </w:trPr>
        <w:tc>
          <w:tcPr>
            <w:tcW w:w="1557" w:type="dxa"/>
            <w:shd w:val="clear" w:color="auto" w:fill="DBEBE7"/>
          </w:tcPr>
          <w:p>
            <w:pPr>
              <w:pStyle w:val="TableParagraph"/>
              <w:spacing w:before="31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Strategy</w:t>
            </w:r>
          </w:p>
        </w:tc>
        <w:tc>
          <w:tcPr>
            <w:tcW w:w="1557" w:type="dxa"/>
            <w:shd w:val="clear" w:color="auto" w:fill="DBEBE7"/>
          </w:tcPr>
          <w:p>
            <w:pPr>
              <w:pStyle w:val="TableParagraph"/>
              <w:spacing w:before="31"/>
              <w:ind w:left="79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Subjects</w:t>
            </w:r>
          </w:p>
        </w:tc>
        <w:tc>
          <w:tcPr>
            <w:tcW w:w="1557" w:type="dxa"/>
            <w:shd w:val="clear" w:color="auto" w:fill="DBEBE7"/>
          </w:tcPr>
          <w:p>
            <w:pPr>
              <w:pStyle w:val="TableParagraph"/>
              <w:spacing w:before="31"/>
              <w:ind w:left="79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Grade/Level</w:t>
            </w:r>
          </w:p>
        </w:tc>
        <w:tc>
          <w:tcPr>
            <w:tcW w:w="1557" w:type="dxa"/>
            <w:shd w:val="clear" w:color="auto" w:fill="DBEBE7"/>
          </w:tcPr>
          <w:p>
            <w:pPr>
              <w:pStyle w:val="TableParagraph"/>
              <w:spacing w:before="31"/>
              <w:ind w:left="79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Schools</w:t>
            </w:r>
          </w:p>
        </w:tc>
        <w:tc>
          <w:tcPr>
            <w:tcW w:w="1557" w:type="dxa"/>
            <w:shd w:val="clear" w:color="auto" w:fill="DBEBE7"/>
          </w:tcPr>
          <w:p>
            <w:pPr>
              <w:pStyle w:val="TableParagraph"/>
              <w:spacing w:before="31"/>
              <w:ind w:left="7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Populations</w:t>
            </w:r>
          </w:p>
        </w:tc>
        <w:tc>
          <w:tcPr>
            <w:tcW w:w="1557" w:type="dxa"/>
            <w:shd w:val="clear" w:color="auto" w:fill="DBEBE7"/>
          </w:tcPr>
          <w:p>
            <w:pPr>
              <w:pStyle w:val="TableParagraph"/>
              <w:spacing w:line="199" w:lineRule="auto" w:before="66"/>
              <w:ind w:left="7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Funding ranking</w:t>
            </w:r>
          </w:p>
          <w:p>
            <w:pPr>
              <w:pStyle w:val="TableParagraph"/>
              <w:spacing w:line="240" w:lineRule="atLeast"/>
              <w:ind w:left="78" w:right="91"/>
              <w:rPr>
                <w:sz w:val="18"/>
              </w:rPr>
            </w:pPr>
            <w:r>
              <w:rPr>
                <w:color w:val="231F20"/>
                <w:sz w:val="18"/>
              </w:rPr>
              <w:t>1=Essential 2=Very important 3=Important 4=Can be delayed</w:t>
            </w:r>
          </w:p>
        </w:tc>
      </w:tr>
      <w:tr>
        <w:trPr>
          <w:trHeight w:val="2170" w:hRule="atLeast"/>
        </w:trPr>
        <w:tc>
          <w:tcPr>
            <w:tcW w:w="1557" w:type="dxa"/>
          </w:tcPr>
          <w:p>
            <w:pPr>
              <w:pStyle w:val="TableParagraph"/>
              <w:spacing w:line="235" w:lineRule="auto" w:before="35"/>
              <w:ind w:left="60" w:right="-18"/>
              <w:rPr>
                <w:sz w:val="22"/>
              </w:rPr>
            </w:pPr>
            <w:r>
              <w:rPr>
                <w:color w:val="231F20"/>
                <w:sz w:val="22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0" w:hRule="atLeast"/>
        </w:trPr>
        <w:tc>
          <w:tcPr>
            <w:tcW w:w="1557" w:type="dxa"/>
          </w:tcPr>
          <w:p>
            <w:pPr>
              <w:pStyle w:val="TableParagraph"/>
              <w:spacing w:line="235" w:lineRule="auto" w:before="35"/>
              <w:ind w:left="60" w:right="-18"/>
              <w:rPr>
                <w:sz w:val="22"/>
              </w:rPr>
            </w:pPr>
            <w:r>
              <w:rPr>
                <w:color w:val="231F20"/>
                <w:sz w:val="22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0" w:hRule="atLeast"/>
        </w:trPr>
        <w:tc>
          <w:tcPr>
            <w:tcW w:w="1557" w:type="dxa"/>
          </w:tcPr>
          <w:p>
            <w:pPr>
              <w:pStyle w:val="TableParagraph"/>
              <w:spacing w:line="235" w:lineRule="auto" w:before="35"/>
              <w:ind w:left="60" w:right="-18"/>
              <w:rPr>
                <w:sz w:val="22"/>
              </w:rPr>
            </w:pPr>
            <w:r>
              <w:rPr>
                <w:color w:val="231F20"/>
                <w:sz w:val="22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0" w:hRule="atLeast"/>
        </w:trPr>
        <w:tc>
          <w:tcPr>
            <w:tcW w:w="1557" w:type="dxa"/>
          </w:tcPr>
          <w:p>
            <w:pPr>
              <w:pStyle w:val="TableParagraph"/>
              <w:spacing w:line="235" w:lineRule="auto" w:before="35"/>
              <w:ind w:left="60" w:right="-18"/>
              <w:rPr>
                <w:sz w:val="22"/>
              </w:rPr>
            </w:pPr>
            <w:r>
              <w:rPr>
                <w:color w:val="231F20"/>
                <w:sz w:val="22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0" w:hRule="atLeast"/>
        </w:trPr>
        <w:tc>
          <w:tcPr>
            <w:tcW w:w="1557" w:type="dxa"/>
          </w:tcPr>
          <w:p>
            <w:pPr>
              <w:pStyle w:val="TableParagraph"/>
              <w:spacing w:line="235" w:lineRule="auto" w:before="35"/>
              <w:ind w:left="60" w:right="-18"/>
              <w:rPr>
                <w:sz w:val="22"/>
              </w:rPr>
            </w:pPr>
            <w:r>
              <w:rPr>
                <w:color w:val="231F20"/>
                <w:sz w:val="22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684" w:footer="1530" w:top="1420" w:bottom="172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27968" from="72pt,700pt" to="540.16pt,700pt" stroked="true" strokeweight=".5pt" strokecolor="#00856f">
          <v:stroke dashstyle="solid"/>
          <w10:wrap type="none"/>
        </v:line>
      </w:pict>
    </w:r>
    <w:r>
      <w:rPr/>
      <w:pict>
        <v:shape style="position:absolute;margin-left:71pt;margin-top:725.013489pt;width:176.9pt;height:22.85pt;mso-position-horizontal-relative:page;mso-position-vertical-relative:page;z-index:-15827456" type="#_x0000_t202" filled="false" stroked="false">
          <v:textbox inset="0,0,0,0">
            <w:txbxContent>
              <w:p>
                <w:pPr>
                  <w:pStyle w:val="BodyText"/>
                  <w:spacing w:line="223" w:lineRule="auto" w:before="32"/>
                  <w:ind w:left="20" w:right="7"/>
                </w:pPr>
                <w:r>
                  <w:rPr>
                    <w:color w:val="231F20"/>
                  </w:rPr>
                  <w:t>Professional Learning State and District </w:t>
                </w:r>
                <w:r>
                  <w:rPr>
                    <w:color w:val="231F20"/>
                    <w:spacing w:val="-4"/>
                  </w:rPr>
                  <w:t>Toolkit: </w:t>
                </w:r>
                <w:r>
                  <w:rPr>
                    <w:color w:val="58595B"/>
                  </w:rPr>
                  <w:t>The Title IIA Equity Multiplier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519287pt;margin-top:734.58197pt;width:95.05pt;height:12.8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</w:rPr>
                  <w:t>essa.learningforward.org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899994pt;margin-top:736.521606pt;width:122.95pt;height:10.1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231F20"/>
                    <w:w w:val="105"/>
                    <w:sz w:val="13"/>
                  </w:rPr>
                  <w:t>THE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PROFESSIONAL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LEARNING</w:t>
                </w:r>
                <w:r>
                  <w:rPr>
                    <w:color w:val="231F20"/>
                    <w:spacing w:val="-16"/>
                    <w:w w:val="105"/>
                    <w:sz w:val="13"/>
                  </w:rPr>
                  <w:t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ASSOCIATION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533295pt;margin-top:33.181999pt;width:203.95pt;height:12.8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</w:rPr>
                  <w:t>LEA Stage 2, Tool 2.2: Setting strategy priorities,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 of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Myriad Pro" w:hAnsi="Myriad Pro" w:eastAsia="Myriad Pro" w:cs="Myriad Pro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98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6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2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04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yriad Pro" w:hAnsi="Myriad Pro" w:eastAsia="Myriad Pro" w:cs="Myriad Pro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2020-09-28T17:00:58Z</dcterms:created>
  <dcterms:modified xsi:type="dcterms:W3CDTF">2020-09-28T17:00:58Z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